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55BF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附件1：</w:t>
      </w:r>
    </w:p>
    <w:p w14:paraId="6DC51D7F">
      <w:pPr>
        <w:pStyle w:val="2"/>
        <w:rPr>
          <w:rFonts w:ascii="方正小标宋_GBK" w:eastAsia="方正小标宋_GBK"/>
          <w:spacing w:val="20"/>
          <w:sz w:val="40"/>
          <w:szCs w:val="32"/>
        </w:rPr>
      </w:pPr>
      <w:r>
        <w:rPr>
          <w:rFonts w:hint="eastAsia" w:ascii="方正小标宋_GBK" w:eastAsia="方正小标宋_GBK"/>
          <w:spacing w:val="20"/>
          <w:sz w:val="40"/>
          <w:szCs w:val="32"/>
        </w:rPr>
        <w:t>第</w:t>
      </w:r>
      <w:r>
        <w:rPr>
          <w:rFonts w:hint="eastAsia" w:ascii="方正小标宋_GBK" w:eastAsia="方正小标宋_GBK"/>
          <w:spacing w:val="20"/>
          <w:sz w:val="40"/>
          <w:szCs w:val="32"/>
          <w:lang w:val="en-US" w:eastAsia="zh-CN"/>
        </w:rPr>
        <w:t>十</w:t>
      </w:r>
      <w:r>
        <w:rPr>
          <w:rFonts w:hint="eastAsia" w:ascii="方正小标宋_GBK" w:eastAsia="方正小标宋_GBK"/>
          <w:spacing w:val="20"/>
          <w:sz w:val="40"/>
          <w:szCs w:val="32"/>
        </w:rPr>
        <w:t>届全国医药院校药学/中药学大学生实验技能展示活动形式</w:t>
      </w:r>
    </w:p>
    <w:p w14:paraId="0A5D0A32">
      <w:pPr>
        <w:pStyle w:val="2"/>
        <w:spacing w:line="360" w:lineRule="auto"/>
        <w:rPr>
          <w:rFonts w:ascii="方正小标宋_GBK" w:eastAsia="方正小标宋_GBK"/>
          <w:spacing w:val="20"/>
        </w:rPr>
      </w:pPr>
    </w:p>
    <w:p w14:paraId="52390F7A">
      <w:pPr>
        <w:snapToGrid w:val="0"/>
        <w:spacing w:line="560" w:lineRule="exact"/>
        <w:ind w:firstLine="643" w:firstLineChars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第一阶段：实验理论部分 100分  时间1小时</w:t>
      </w:r>
    </w:p>
    <w:p w14:paraId="09528E99">
      <w:pPr>
        <w:snapToGrid w:val="0"/>
        <w:spacing w:line="560" w:lineRule="exact"/>
        <w:ind w:firstLine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1.基本实验（40分）</w:t>
      </w:r>
    </w:p>
    <w:p w14:paraId="31761CBA">
      <w:pPr>
        <w:pStyle w:val="8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该部分为每个选手必答题，题型：单选题和多选题。</w:t>
      </w:r>
    </w:p>
    <w:p w14:paraId="7FC606F6">
      <w:pPr>
        <w:snapToGrid w:val="0"/>
        <w:spacing w:line="560" w:lineRule="exact"/>
        <w:ind w:firstLine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>2.专业实验（60分）</w:t>
      </w:r>
    </w:p>
    <w:p w14:paraId="426A7238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该部分由药学和中药学两个模块组成。参赛选手可根据所学专业或本人特点任选一模块（每个选手只能选其中一个模块）。</w:t>
      </w:r>
    </w:p>
    <w:p w14:paraId="3B194FD6"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药学模块：</w:t>
      </w:r>
    </w:p>
    <w:p w14:paraId="61E80075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选择题（单选题和多选题）（针对药学专业特点）</w:t>
      </w:r>
    </w:p>
    <w:p w14:paraId="5FB98F56"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bCs/>
          <w:color w:val="000000"/>
          <w:sz w:val="32"/>
          <w:szCs w:val="28"/>
        </w:rPr>
        <w:t>中药模块：</w:t>
      </w:r>
    </w:p>
    <w:p w14:paraId="677032C7">
      <w:pPr>
        <w:pStyle w:val="8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选择题（单选题和多选题）（针对中药专业特点）</w:t>
      </w:r>
    </w:p>
    <w:p w14:paraId="4499F346">
      <w:pPr>
        <w:pStyle w:val="8"/>
        <w:snapToGrid w:val="0"/>
        <w:spacing w:line="560" w:lineRule="exact"/>
        <w:ind w:firstLine="640"/>
        <w:rPr>
          <w:rFonts w:ascii="方正仿宋_GBK" w:hAnsi="宋体" w:eastAsia="方正仿宋_GBK"/>
          <w:sz w:val="32"/>
          <w:szCs w:val="28"/>
        </w:rPr>
      </w:pPr>
    </w:p>
    <w:p w14:paraId="2275B962">
      <w:pPr>
        <w:widowControl/>
        <w:spacing w:line="560" w:lineRule="exact"/>
        <w:ind w:firstLine="643" w:firstLineChars="200"/>
        <w:rPr>
          <w:rFonts w:ascii="方正仿宋_GBK" w:hAnsi="宋体" w:eastAsia="方正仿宋_GBK"/>
          <w:b/>
          <w:sz w:val="32"/>
          <w:szCs w:val="28"/>
        </w:rPr>
      </w:pPr>
      <w:r>
        <w:rPr>
          <w:rFonts w:hint="eastAsia" w:ascii="方正仿宋_GBK" w:hAnsi="宋体" w:eastAsia="方正仿宋_GBK"/>
          <w:b/>
          <w:sz w:val="32"/>
          <w:szCs w:val="28"/>
        </w:rPr>
        <w:t xml:space="preserve">第二阶段：实验技能部分  100分  时间 </w:t>
      </w:r>
      <w:r>
        <w:rPr>
          <w:rFonts w:ascii="方正仿宋_GBK" w:hAnsi="宋体" w:eastAsia="方正仿宋_GBK"/>
          <w:b/>
          <w:sz w:val="32"/>
          <w:szCs w:val="28"/>
        </w:rPr>
        <w:t>2</w:t>
      </w:r>
      <w:r>
        <w:rPr>
          <w:rFonts w:hint="eastAsia" w:ascii="方正仿宋_GBK" w:hAnsi="宋体" w:eastAsia="方正仿宋_GBK"/>
          <w:b/>
          <w:sz w:val="32"/>
          <w:szCs w:val="28"/>
        </w:rPr>
        <w:t>-</w:t>
      </w:r>
      <w:r>
        <w:rPr>
          <w:rFonts w:ascii="方正仿宋_GBK" w:hAnsi="宋体" w:eastAsia="方正仿宋_GBK"/>
          <w:b/>
          <w:sz w:val="32"/>
          <w:szCs w:val="28"/>
        </w:rPr>
        <w:t>3</w:t>
      </w:r>
      <w:r>
        <w:rPr>
          <w:rFonts w:hint="eastAsia" w:ascii="方正仿宋_GBK" w:hAnsi="宋体" w:eastAsia="方正仿宋_GBK"/>
          <w:b/>
          <w:sz w:val="32"/>
          <w:szCs w:val="28"/>
        </w:rPr>
        <w:t>小时</w:t>
      </w:r>
    </w:p>
    <w:p w14:paraId="486F7F0A">
      <w:pPr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所有选手实验操作内容相同（内容兼顾中药专业和药学专业等相关专业基本实验）：初步拟定两方面内容：生物（生理、药理学）与化学（天然产物化学/中药化学、药物化学、药物分析、中药分析）两部分通用技术和操作。以一或两个药物相关实验，涵盖生物与化学相关内容。要求：选手按照试卷给定的实验过程和要求，进行实验，获得相应结果。</w:t>
      </w:r>
    </w:p>
    <w:p w14:paraId="031BAA8C">
      <w:pPr>
        <w:snapToGrid w:val="0"/>
        <w:spacing w:line="560" w:lineRule="exact"/>
        <w:ind w:firstLine="640" w:firstLineChars="200"/>
        <w:rPr>
          <w:rFonts w:hint="eastAsia" w:ascii="方正仿宋_GBK" w:hAnsi="宋体" w:eastAsia="方正仿宋_GBK"/>
          <w:sz w:val="32"/>
          <w:szCs w:val="28"/>
        </w:rPr>
      </w:pPr>
      <w:r>
        <w:rPr>
          <w:rFonts w:hint="eastAsia" w:ascii="方正仿宋_GBK" w:hAnsi="宋体" w:eastAsia="方正仿宋_GBK"/>
          <w:sz w:val="32"/>
          <w:szCs w:val="28"/>
        </w:rPr>
        <w:t>竞赛成绩：满分200分。选手得分第一阶段得分+第二阶段得分。</w:t>
      </w:r>
    </w:p>
    <w:p w14:paraId="587C0D2B">
      <w:pPr>
        <w:snapToGrid w:val="0"/>
        <w:spacing w:line="560" w:lineRule="exact"/>
        <w:ind w:firstLine="640" w:firstLineChars="200"/>
        <w:rPr>
          <w:rFonts w:hint="eastAsia" w:ascii="方正仿宋_GBK" w:hAnsi="宋体" w:eastAsia="方正仿宋_GBK"/>
          <w:sz w:val="32"/>
          <w:szCs w:val="28"/>
        </w:rPr>
      </w:pPr>
      <w:bookmarkStart w:id="0" w:name="_GoBack"/>
      <w:bookmarkEnd w:id="0"/>
    </w:p>
    <w:p w14:paraId="1D7F0A05">
      <w:pPr>
        <w:spacing w:line="560" w:lineRule="exact"/>
        <w:ind w:firstLine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附件2：</w:t>
      </w:r>
    </w:p>
    <w:p w14:paraId="23317805">
      <w:pPr>
        <w:pStyle w:val="2"/>
        <w:spacing w:line="560" w:lineRule="exact"/>
        <w:rPr>
          <w:rFonts w:ascii="方正小标宋_GBK" w:eastAsia="方正小标宋_GBK"/>
          <w:spacing w:val="20"/>
        </w:rPr>
      </w:pPr>
      <w:r>
        <w:rPr>
          <w:rFonts w:hint="eastAsia" w:ascii="方正小标宋_GBK" w:eastAsia="方正小标宋_GBK"/>
          <w:spacing w:val="20"/>
        </w:rPr>
        <w:t>全国医药院校药学/中药学专业大学生实验技能展示活动大纲</w:t>
      </w:r>
    </w:p>
    <w:p w14:paraId="216E41D8">
      <w:pPr>
        <w:pStyle w:val="2"/>
        <w:spacing w:line="560" w:lineRule="exact"/>
        <w:rPr>
          <w:rFonts w:ascii="方正小标宋_GBK" w:eastAsia="方正小标宋_GBK"/>
          <w:spacing w:val="20"/>
        </w:rPr>
      </w:pPr>
    </w:p>
    <w:p w14:paraId="3E7A21F6">
      <w:pPr>
        <w:spacing w:line="500" w:lineRule="exact"/>
        <w:ind w:firstLine="640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sz w:val="32"/>
        </w:rPr>
        <w:t>实验理论与操作内容：药学/中药学大学二年级、三年级和部分四年级的基本实验内容。</w:t>
      </w:r>
    </w:p>
    <w:p w14:paraId="4D1945E1">
      <w:pPr>
        <w:spacing w:line="500" w:lineRule="exact"/>
        <w:ind w:firstLine="643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药学模块</w:t>
      </w:r>
      <w:r>
        <w:rPr>
          <w:rFonts w:hint="eastAsia" w:ascii="方正仿宋_GBK" w:hAnsi="宋体" w:eastAsia="方正仿宋_GBK"/>
          <w:sz w:val="32"/>
        </w:rPr>
        <w:t>：涵盖有机化学与药物化学、分析化学与药物分析、微生物与生物化学、生理学与药理学、药剂学、生药学与天然产物化学等实验教学内容。</w:t>
      </w:r>
    </w:p>
    <w:p w14:paraId="3C0107E0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中药学模块</w:t>
      </w:r>
      <w:r>
        <w:rPr>
          <w:rFonts w:hint="eastAsia" w:ascii="方正仿宋_GBK" w:hAnsi="宋体" w:eastAsia="方正仿宋_GBK"/>
          <w:sz w:val="32"/>
        </w:rPr>
        <w:t>：涵盖有机化学与中药化学、分析化学与中药分析、中药药理学、中药药剂学、中药鉴定学、中药炮制学、生药学与天然产物化学等实验教学内容。</w:t>
      </w:r>
    </w:p>
    <w:p w14:paraId="1D4E0714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一、有机化学与药物化学</w:t>
      </w:r>
    </w:p>
    <w:p w14:paraId="58D4596C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sz w:val="32"/>
        </w:rPr>
        <w:t>实验理论：涵盖内容包括基本化学反应操作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熔点测定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重结晶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萃取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减压和常压蒸馏等内容。</w:t>
      </w:r>
    </w:p>
    <w:p w14:paraId="463637EB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sz w:val="32"/>
        </w:rPr>
        <w:t>实验操作：某个药物的一到两步合成过程，可能涉及到上述技术与操作。</w:t>
      </w:r>
    </w:p>
    <w:p w14:paraId="2E4638A2">
      <w:pPr>
        <w:spacing w:line="500" w:lineRule="exact"/>
        <w:ind w:firstLine="643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二、天然产物化学/中药化学</w:t>
      </w:r>
    </w:p>
    <w:p w14:paraId="674623BF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实验理论：涵盖中药有效成分（生物碱，黄酮、挥发油，苷类）提取与分离，重结晶、色谱分离（薄层、柱层析），常见的显色反应（成分检识）。</w:t>
      </w:r>
    </w:p>
    <w:p w14:paraId="22F9B8FB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/>
          <w:sz w:val="32"/>
        </w:rPr>
        <w:t>实验操作：某一个（类）有效成分提取、分离或鉴定过程，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21F01E78">
      <w:pPr>
        <w:spacing w:line="500" w:lineRule="exact"/>
        <w:ind w:firstLine="643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三、分析化学和药物分析</w:t>
      </w:r>
    </w:p>
    <w:p w14:paraId="1646FFD0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理论：涵盖一般实验：称量，溶液配制，滴定管、移液管、容量瓶等常见定量容器的使用，玻璃器皿洗涤等；容量分析法：滴定管使用、终点判断、结果计算（包括有效数字位数）等；仪器分析法：红外光谱法，紫外-可见光谱法，荧光光谱法、质谱法气相色谱法，高效液相色谱法，薄层色谱法等分析技术在药物定性或者定量分析中的应用。</w:t>
      </w:r>
    </w:p>
    <w:p w14:paraId="535842D7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实验操作：利用上述分析方法对一个典型原料药或药物制剂进行鉴别、检查和含量测定等所涉及到的</w:t>
      </w:r>
      <w:r>
        <w:rPr>
          <w:rFonts w:hint="eastAsia" w:ascii="方正仿宋_GBK" w:hAnsi="宋体" w:eastAsia="方正仿宋_GBK" w:cs="黑体"/>
          <w:sz w:val="32"/>
        </w:rPr>
        <w:t>基本实验操作</w:t>
      </w:r>
      <w:r>
        <w:rPr>
          <w:rFonts w:hint="eastAsia" w:ascii="方正仿宋_GBK" w:hAnsi="宋体" w:eastAsia="方正仿宋_GBK"/>
          <w:sz w:val="32"/>
        </w:rPr>
        <w:t>。</w:t>
      </w:r>
    </w:p>
    <w:p w14:paraId="770EED29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四、微生物与生物化学</w:t>
      </w:r>
    </w:p>
    <w:p w14:paraId="50DD5FD6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实验理论：涵盖微生物的培养、分离、纯化及鉴定技术和糖、脂类、蛋白质和核酸等生物大分子的提取、纯化、鉴定技术以及分子定量等实验技术以及酶学实验等；微生物培养的基本操作，常用染色鉴别方法等。</w:t>
      </w:r>
    </w:p>
    <w:p w14:paraId="25F826A0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五、生理与药理学</w:t>
      </w:r>
    </w:p>
    <w:p w14:paraId="039FB80F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实验理论：动物实验的基本伦理（福利）知识，</w:t>
      </w:r>
      <w:r>
        <w:rPr>
          <w:rFonts w:hint="eastAsia" w:ascii="方正仿宋_GBK" w:hAnsi="宋体" w:eastAsia="方正仿宋_GBK" w:cs="宋体"/>
          <w:sz w:val="32"/>
        </w:rPr>
        <w:t>实验动物的基本技能，动物的</w:t>
      </w:r>
      <w:r>
        <w:rPr>
          <w:rFonts w:hint="eastAsia" w:ascii="方正仿宋_GBK" w:hAnsi="宋体" w:eastAsia="方正仿宋_GBK"/>
          <w:sz w:val="32"/>
        </w:rPr>
        <w:t>正确捉持，</w:t>
      </w:r>
      <w:r>
        <w:rPr>
          <w:rFonts w:hint="eastAsia" w:ascii="方正仿宋_GBK" w:hAnsi="宋体" w:eastAsia="方正仿宋_GBK" w:cs="宋体"/>
          <w:sz w:val="32"/>
        </w:rPr>
        <w:t>给药和采样方法，生理/药理指标的测定以及其常用仪器。常用在体药效学和毒理学评价动物模型（镇痛、抗炎、镇静等）和离体评价模型及其评价指标。</w:t>
      </w:r>
    </w:p>
    <w:p w14:paraId="05B1D2D8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实验操作：在评价某一药物时，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6D27169C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六、药剂学</w:t>
      </w:r>
    </w:p>
    <w:p w14:paraId="00A3A4B3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</w:t>
      </w:r>
      <w:r>
        <w:rPr>
          <w:rFonts w:hint="eastAsia" w:ascii="方正仿宋_GBK" w:hAnsi="宋体" w:eastAsia="方正仿宋_GBK"/>
          <w:sz w:val="32"/>
        </w:rPr>
        <w:t>常用药物剂型的一般制备工艺和实验技能，包括液体类剂型与特点、固体剂型（制备过程、质量控制、释放度测定）及其注意事项等。</w:t>
      </w:r>
    </w:p>
    <w:p w14:paraId="477EC970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实验操作：设计并制备某一药物制剂时，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20E1E852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七、中药药理</w:t>
      </w:r>
    </w:p>
    <w:p w14:paraId="64E94E8F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实验理论：涵盖动物实验的基本伦理（福利）知识，常用实验动物的捉持、给药剂量的换算、不同给药途径的给药方法、采血、麻醉、处死、解剖、实验原理、实验观测指标等中药药理基本实验技术。</w:t>
      </w:r>
      <w:r>
        <w:rPr>
          <w:rFonts w:hint="eastAsia" w:ascii="方正仿宋_GBK" w:hAnsi="宋体" w:eastAsia="方正仿宋_GBK" w:cs="宋体"/>
          <w:sz w:val="32"/>
        </w:rPr>
        <w:t>常用在体药效学与毒性评价动物模型及其评价指标。</w:t>
      </w:r>
      <w:r>
        <w:rPr>
          <w:rFonts w:hint="eastAsia" w:ascii="方正仿宋_GBK" w:hAnsi="宋体" w:eastAsia="方正仿宋_GBK" w:cs="黑体"/>
          <w:sz w:val="32"/>
        </w:rPr>
        <w:t>实验操作：设计某一动物实验方法和评价药物时，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4B489D7E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八、中药药剂学</w:t>
      </w:r>
    </w:p>
    <w:p w14:paraId="7177B5ED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中药制剂过程中粉碎、筛析、混合、卫生检验技术，常用中药剂型（合剂、口服液、酒剂、酊剂、散剂、糖浆剂、乳剂、栓剂、片剂、胶囊剂、丸剂、滴丸剂、软膏剂、注射剂、粉针剂等）的制备技术和质量检验技术。</w:t>
      </w:r>
    </w:p>
    <w:p w14:paraId="499E9BAE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实验操作：设计并制备某一中药制剂时，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31864227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九、中药分析</w:t>
      </w:r>
    </w:p>
    <w:p w14:paraId="7CE0042D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实验理论：涵盖中药材或饮片、中药提取物、中药制剂的鉴别、检查、含量测定等中药质量分析方法，中药及其制剂质量标准的制定和中药制药过程质量控制等知识点。</w:t>
      </w:r>
    </w:p>
    <w:p w14:paraId="217AAE2E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实验操作：在进行某一中药饮片或中药制剂的鉴别、检查、含量测定或制定其质量标准时，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2FA83A04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十、中药鉴定学</w:t>
      </w:r>
    </w:p>
    <w:p w14:paraId="70A95B51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实验理论：识别常用中药材及饮片，包括类别、药用部位、粉末的临时制片方法及显微鉴别特征。</w:t>
      </w:r>
    </w:p>
    <w:p w14:paraId="5407FB70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十一、中药炮制学</w:t>
      </w:r>
    </w:p>
    <w:p w14:paraId="4EE864CD">
      <w:pPr>
        <w:spacing w:line="500" w:lineRule="exact"/>
        <w:ind w:firstLine="640" w:firstLineChars="200"/>
      </w:pPr>
      <w:r>
        <w:rPr>
          <w:rFonts w:hint="eastAsia" w:ascii="方正仿宋_GBK" w:hAnsi="宋体" w:eastAsia="方正仿宋_GBK" w:cs="黑体"/>
          <w:sz w:val="32"/>
        </w:rPr>
        <w:t>实验理论：掌握常用炮制方法的知识要点。</w:t>
      </w:r>
    </w:p>
    <w:p w14:paraId="2B74E3C7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5CA5E797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7088C560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4655363C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2F196C0E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02A5B305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236DE20D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0884B9E4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0197F301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700F28A4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53FEA375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3CA7F952">
      <w:pPr>
        <w:spacing w:line="420" w:lineRule="exact"/>
        <w:rPr>
          <w:rFonts w:hint="eastAsia" w:ascii="黑体" w:hAnsi="宋体" w:eastAsia="黑体" w:cs="Arial"/>
          <w:sz w:val="32"/>
          <w:szCs w:val="28"/>
        </w:rPr>
      </w:pPr>
      <w:r>
        <w:rPr>
          <w:rFonts w:hint="eastAsia" w:ascii="黑体" w:hAnsi="宋体" w:eastAsia="黑体" w:cs="Arial"/>
          <w:sz w:val="32"/>
          <w:szCs w:val="28"/>
        </w:rPr>
        <w:t>附件3：</w:t>
      </w:r>
    </w:p>
    <w:p w14:paraId="7B039FE2">
      <w:pPr>
        <w:spacing w:before="240" w:beforeLines="100" w:after="240" w:afterLines="100"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sz w:val="36"/>
          <w:szCs w:val="36"/>
        </w:rPr>
        <w:t>活动回执</w:t>
      </w:r>
    </w:p>
    <w:p w14:paraId="4A946369">
      <w:pPr>
        <w:spacing w:line="500" w:lineRule="exact"/>
        <w:ind w:firstLine="643" w:firstLineChars="200"/>
        <w:jc w:val="left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</w:rPr>
        <w:t>请各校于202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年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月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日前</w: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begin"/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 HYPERLINK "mailto:扫码</w:instrTex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instrText xml:space="preserve">在线</w:instrText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填写</w:instrTex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instrText xml:space="preserve">回执或者填写回执表发送至</w:instrText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yxxkz@cpu.edu.cn" </w:instrTex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separate"/>
      </w:r>
      <w:r>
        <w:rPr>
          <w:rStyle w:val="7"/>
          <w:rFonts w:ascii="方正仿宋_GBK" w:hAnsi="宋体" w:eastAsia="方正仿宋_GBK"/>
          <w:b/>
          <w:bCs/>
          <w:sz w:val="32"/>
          <w:szCs w:val="32"/>
        </w:rPr>
        <w:t>扫码</w:t>
      </w:r>
      <w:r>
        <w:rPr>
          <w:rStyle w:val="7"/>
          <w:rFonts w:hint="eastAsia" w:ascii="方正仿宋_GBK" w:hAnsi="宋体" w:eastAsia="方正仿宋_GBK"/>
          <w:b/>
          <w:bCs/>
          <w:sz w:val="32"/>
          <w:szCs w:val="32"/>
        </w:rPr>
        <w:t>在线</w:t>
      </w:r>
      <w:r>
        <w:rPr>
          <w:rStyle w:val="7"/>
          <w:rFonts w:ascii="方正仿宋_GBK" w:hAnsi="宋体" w:eastAsia="方正仿宋_GBK"/>
          <w:b/>
          <w:bCs/>
          <w:sz w:val="32"/>
          <w:szCs w:val="32"/>
        </w:rPr>
        <w:t>填写</w:t>
      </w:r>
      <w:r>
        <w:rPr>
          <w:rStyle w:val="7"/>
          <w:rFonts w:hint="eastAsia" w:ascii="方正仿宋_GBK" w:hAnsi="宋体" w:eastAsia="方正仿宋_GBK"/>
          <w:b/>
          <w:bCs/>
          <w:sz w:val="32"/>
          <w:szCs w:val="32"/>
        </w:rPr>
        <w:t>回执</w: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end"/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。</w:t>
      </w:r>
    </w:p>
    <w:p w14:paraId="33E6053D">
      <w:pPr>
        <w:spacing w:line="500" w:lineRule="exact"/>
        <w:ind w:firstLine="643" w:firstLineChars="200"/>
        <w:jc w:val="left"/>
        <w:rPr>
          <w:rFonts w:hint="default" w:ascii="方正仿宋_GBK" w:hAnsi="宋体" w:eastAsia="方正仿宋_GBK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  <w:highlight w:val="yellow"/>
          <w:lang w:val="en-US" w:eastAsia="zh-CN"/>
        </w:rPr>
        <w:t>特别注意：此次报名仅为预报名，正式报名请关注后续活动通知！以正式报名为准！</w:t>
      </w:r>
    </w:p>
    <w:p w14:paraId="5CF5F4CB">
      <w:pPr>
        <w:numPr>
          <w:ilvl w:val="0"/>
          <w:numId w:val="0"/>
        </w:numPr>
        <w:spacing w:line="500" w:lineRule="exact"/>
        <w:ind w:left="198" w:firstLine="0"/>
        <w:jc w:val="left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二维码</w:t>
      </w:r>
    </w:p>
    <w:p w14:paraId="3CB11BA5">
      <w:pPr>
        <w:spacing w:before="240" w:beforeLines="100" w:after="240" w:afterLines="100"/>
        <w:ind w:left="720"/>
        <w:jc w:val="left"/>
        <w:rPr>
          <w:rFonts w:hint="eastAsia" w:ascii="方正仿宋_GBK" w:hAnsi="宋体" w:eastAsia="方正仿宋_GBK"/>
          <w:b/>
          <w:bCs/>
          <w:sz w:val="32"/>
          <w:szCs w:val="32"/>
          <w:lang w:eastAsia="zh-CN"/>
        </w:rPr>
      </w:pPr>
      <w:r>
        <w:drawing>
          <wp:inline distT="0" distB="0" distL="114300" distR="114300">
            <wp:extent cx="2468880" cy="24688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A0F2"/>
    <w:p w14:paraId="178FC26E">
      <w:pPr>
        <w:spacing w:line="520" w:lineRule="exact"/>
        <w:ind w:right="-283" w:rightChars="-135"/>
        <w:rPr>
          <w:rFonts w:hint="eastAsia" w:ascii="方正仿宋_GBK" w:hAnsi="宋体" w:eastAsia="方正仿宋_GBK"/>
          <w:sz w:val="32"/>
          <w:szCs w:val="32"/>
        </w:rPr>
      </w:pPr>
    </w:p>
    <w:p w14:paraId="08F844C4"/>
    <w:sectPr>
      <w:footerReference r:id="rId3" w:type="default"/>
      <w:pgSz w:w="11906" w:h="16838"/>
      <w:pgMar w:top="1100" w:right="1400" w:bottom="1100" w:left="17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7AE5F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156552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2696"/>
    <w:rsid w:val="595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2026-07-09T09:30:00Z</dcterms:created>
  <dc:creator>admin</dc:creator>
  <cp:lastModifiedBy>admin</cp:lastModifiedBy>
  <dcterms:modified xsi:type="dcterms:W3CDTF">2026-07-09T09:31:25Z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962F7DE58FF34367A1FAE83E7D940453_11</vt:lpwstr>
  </property>
  <property fmtid="{D5CDD505-2E9C-101B-9397-08002B2CF9AE}" pid="4" name="KSOTemplateDocerSaveRecord">
    <vt:lpwstr>eyJoZGlkIjoiMmE2MmE0MDAzNjY2MjNkMzI0ZGIxZWQ0MzUyYjgzNmQiLCJ1c2VySWQiOiIyNTE1MTU5MSJ9</vt:lpwstr>
  </property>
</Properties>
</file>